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E1ABD" w14:textId="77777777" w:rsidR="00EA6856" w:rsidRPr="00EA6856" w:rsidRDefault="00EA6856" w:rsidP="0064740B">
      <w:pPr>
        <w:jc w:val="center"/>
        <w:rPr>
          <w:b/>
          <w:bCs/>
          <w:sz w:val="22"/>
          <w:szCs w:val="22"/>
        </w:rPr>
      </w:pPr>
      <w:r w:rsidRPr="00A33614">
        <w:rPr>
          <w:b/>
          <w:bCs/>
          <w:sz w:val="22"/>
          <w:szCs w:val="22"/>
        </w:rPr>
        <w:t>Engaging Learning through Polling:</w:t>
      </w:r>
      <w:r w:rsidRPr="00EA6856">
        <w:rPr>
          <w:b/>
          <w:bCs/>
          <w:sz w:val="22"/>
          <w:szCs w:val="22"/>
        </w:rPr>
        <w:t xml:space="preserve"> When and How to Use Them</w:t>
      </w:r>
    </w:p>
    <w:p w14:paraId="7254894B" w14:textId="77777777" w:rsidR="00EA6856" w:rsidRPr="005011B3" w:rsidRDefault="00EA6856" w:rsidP="0064740B">
      <w:pPr>
        <w:rPr>
          <w:b/>
          <w:bCs/>
          <w:sz w:val="20"/>
          <w:szCs w:val="20"/>
        </w:rPr>
      </w:pPr>
    </w:p>
    <w:p w14:paraId="3023EAC6" w14:textId="77777777" w:rsidR="00EA6856" w:rsidRPr="00ED4E6D" w:rsidRDefault="00EA6856" w:rsidP="0064740B">
      <w:pPr>
        <w:rPr>
          <w:sz w:val="21"/>
          <w:szCs w:val="21"/>
        </w:rPr>
      </w:pPr>
      <w:r w:rsidRPr="00ED4E6D">
        <w:rPr>
          <w:sz w:val="21"/>
          <w:szCs w:val="21"/>
        </w:rPr>
        <w:t>Our brains are wired to seek novelty and challenge. When we encounter something unexpected or are asked to solve a problem, our brain’s reward system is activated, releasing dopamine, which enhances our focus and motivation. Polling questions tap into this mechanism by introducing an element of interactivity and challenge, making the learning experience more engaging and memorable.</w:t>
      </w:r>
    </w:p>
    <w:p w14:paraId="6CF27063" w14:textId="77777777" w:rsidR="00EA6856" w:rsidRPr="005011B3" w:rsidRDefault="00EA6856" w:rsidP="0064740B">
      <w:pPr>
        <w:rPr>
          <w:sz w:val="20"/>
          <w:szCs w:val="20"/>
        </w:rPr>
      </w:pPr>
    </w:p>
    <w:p w14:paraId="26CB2DB1" w14:textId="752A716B" w:rsidR="00072F38" w:rsidRPr="00ED4E6D" w:rsidRDefault="00EA6856" w:rsidP="0064740B">
      <w:pPr>
        <w:spacing w:line="259" w:lineRule="auto"/>
        <w:rPr>
          <w:sz w:val="21"/>
          <w:szCs w:val="21"/>
        </w:rPr>
      </w:pPr>
      <w:r w:rsidRPr="00ED4E6D">
        <w:rPr>
          <w:sz w:val="21"/>
          <w:szCs w:val="21"/>
        </w:rPr>
        <w:t>When to use them depends on what you want to use the questions for.</w:t>
      </w:r>
      <w:r w:rsidR="00072F38">
        <w:rPr>
          <w:sz w:val="21"/>
          <w:szCs w:val="21"/>
        </w:rPr>
        <w:t xml:space="preserve">  For the different types of online polling options, please refer to the </w:t>
      </w:r>
      <w:hyperlink r:id="rId8" w:history="1">
        <w:r w:rsidR="00072F38" w:rsidRPr="007F55D2">
          <w:rPr>
            <w:rStyle w:val="Hyperlink"/>
            <w:sz w:val="21"/>
            <w:szCs w:val="21"/>
          </w:rPr>
          <w:t>Polling</w:t>
        </w:r>
        <w:r w:rsidR="00561F83" w:rsidRPr="007F55D2">
          <w:rPr>
            <w:rStyle w:val="Hyperlink"/>
            <w:sz w:val="21"/>
            <w:szCs w:val="21"/>
          </w:rPr>
          <w:t xml:space="preserve"> – Different Types of Polls</w:t>
        </w:r>
      </w:hyperlink>
      <w:r w:rsidR="00561F83">
        <w:rPr>
          <w:sz w:val="21"/>
          <w:szCs w:val="21"/>
        </w:rPr>
        <w:t xml:space="preserve"> document</w:t>
      </w:r>
    </w:p>
    <w:p w14:paraId="2DA789D0" w14:textId="77777777" w:rsidR="00EA6856" w:rsidRPr="005011B3" w:rsidRDefault="00EA6856" w:rsidP="0064740B">
      <w:pPr>
        <w:rPr>
          <w:b/>
          <w:bCs/>
          <w:sz w:val="20"/>
          <w:szCs w:val="20"/>
        </w:rPr>
      </w:pPr>
    </w:p>
    <w:p w14:paraId="0F5ECAEE" w14:textId="77777777" w:rsidR="00EA6856" w:rsidRPr="00ED4E6D" w:rsidRDefault="00EA6856" w:rsidP="0064740B">
      <w:pPr>
        <w:spacing w:line="259" w:lineRule="auto"/>
        <w:rPr>
          <w:sz w:val="21"/>
          <w:szCs w:val="21"/>
        </w:rPr>
      </w:pPr>
      <w:r w:rsidRPr="00ED4E6D">
        <w:rPr>
          <w:sz w:val="21"/>
          <w:szCs w:val="21"/>
        </w:rPr>
        <w:t xml:space="preserve">1. </w:t>
      </w:r>
      <w:r w:rsidRPr="00ED4E6D">
        <w:rPr>
          <w:b/>
          <w:bCs/>
          <w:sz w:val="21"/>
          <w:szCs w:val="21"/>
        </w:rPr>
        <w:t>At the Beginning:</w:t>
      </w:r>
      <w:r w:rsidRPr="00ED4E6D">
        <w:rPr>
          <w:sz w:val="21"/>
          <w:szCs w:val="21"/>
        </w:rPr>
        <w:t xml:space="preserve"> Creating Cognitive Dissonance</w:t>
      </w:r>
    </w:p>
    <w:p w14:paraId="429BC22F" w14:textId="77777777" w:rsidR="00EA6856" w:rsidRPr="00ED4E6D" w:rsidRDefault="00EA6856" w:rsidP="0064740B">
      <w:pPr>
        <w:numPr>
          <w:ilvl w:val="0"/>
          <w:numId w:val="1"/>
        </w:numPr>
        <w:spacing w:line="259" w:lineRule="auto"/>
        <w:rPr>
          <w:sz w:val="21"/>
          <w:szCs w:val="21"/>
        </w:rPr>
      </w:pPr>
      <w:r w:rsidRPr="00ED4E6D">
        <w:rPr>
          <w:b/>
          <w:bCs/>
          <w:sz w:val="21"/>
          <w:szCs w:val="21"/>
        </w:rPr>
        <w:t>Why</w:t>
      </w:r>
      <w:r w:rsidRPr="00ED4E6D">
        <w:rPr>
          <w:sz w:val="21"/>
          <w:szCs w:val="21"/>
        </w:rPr>
        <w:t>: Starting with a polling question that challenges a common belief or misconception can create cognitive dissonance. This technique engages your audience by making them question their assumptions, which primes their brains to be more receptive to new information.</w:t>
      </w:r>
    </w:p>
    <w:p w14:paraId="6C7567FA" w14:textId="77777777" w:rsidR="00EA6856" w:rsidRPr="00ED4E6D" w:rsidRDefault="00EA6856" w:rsidP="00EA6856">
      <w:pPr>
        <w:numPr>
          <w:ilvl w:val="0"/>
          <w:numId w:val="1"/>
        </w:numPr>
        <w:spacing w:line="259" w:lineRule="auto"/>
        <w:rPr>
          <w:sz w:val="21"/>
          <w:szCs w:val="21"/>
        </w:rPr>
      </w:pPr>
      <w:r w:rsidRPr="00ED4E6D">
        <w:rPr>
          <w:b/>
          <w:bCs/>
          <w:sz w:val="21"/>
          <w:szCs w:val="21"/>
        </w:rPr>
        <w:t>Benefit</w:t>
      </w:r>
      <w:r w:rsidRPr="00ED4E6D">
        <w:rPr>
          <w:sz w:val="21"/>
          <w:szCs w:val="21"/>
        </w:rPr>
        <w:t>: This approach sparks curiosity and prepares the audience to absorb and rethink the information you will present.</w:t>
      </w:r>
    </w:p>
    <w:p w14:paraId="6F22D907" w14:textId="77777777" w:rsidR="00EA6856" w:rsidRPr="00ED4E6D" w:rsidRDefault="00EA6856" w:rsidP="0064740B">
      <w:pPr>
        <w:numPr>
          <w:ilvl w:val="0"/>
          <w:numId w:val="1"/>
        </w:numPr>
        <w:spacing w:line="259" w:lineRule="auto"/>
        <w:rPr>
          <w:sz w:val="21"/>
          <w:szCs w:val="21"/>
        </w:rPr>
      </w:pPr>
      <w:r w:rsidRPr="00ED4E6D">
        <w:rPr>
          <w:b/>
          <w:bCs/>
          <w:sz w:val="21"/>
          <w:szCs w:val="21"/>
        </w:rPr>
        <w:t>Anxiety and Resistance</w:t>
      </w:r>
      <w:r w:rsidRPr="00ED4E6D">
        <w:rPr>
          <w:sz w:val="21"/>
          <w:szCs w:val="21"/>
        </w:rPr>
        <w:t>: Cognitive dissonance can induce anxiety or resistance, particularly if the question challenges deeply held beliefs. This emotional response can distract from the learning process.</w:t>
      </w:r>
    </w:p>
    <w:p w14:paraId="26ECE173" w14:textId="77777777" w:rsidR="00EA6856" w:rsidRPr="005011B3" w:rsidRDefault="00EA6856" w:rsidP="0064740B">
      <w:pPr>
        <w:spacing w:line="259" w:lineRule="auto"/>
        <w:rPr>
          <w:sz w:val="20"/>
          <w:szCs w:val="20"/>
        </w:rPr>
      </w:pPr>
    </w:p>
    <w:p w14:paraId="6891AEA6" w14:textId="77777777" w:rsidR="00EA6856" w:rsidRPr="00ED4E6D" w:rsidRDefault="00EA6856" w:rsidP="0064740B">
      <w:pPr>
        <w:spacing w:line="259" w:lineRule="auto"/>
        <w:rPr>
          <w:sz w:val="21"/>
          <w:szCs w:val="21"/>
        </w:rPr>
      </w:pPr>
      <w:r w:rsidRPr="00ED4E6D">
        <w:rPr>
          <w:sz w:val="21"/>
          <w:szCs w:val="21"/>
        </w:rPr>
        <w:t xml:space="preserve">2. </w:t>
      </w:r>
      <w:r w:rsidRPr="00ED4E6D">
        <w:rPr>
          <w:b/>
          <w:bCs/>
          <w:sz w:val="21"/>
          <w:szCs w:val="21"/>
        </w:rPr>
        <w:t>Throughout:</w:t>
      </w:r>
      <w:r w:rsidRPr="00ED4E6D">
        <w:rPr>
          <w:sz w:val="21"/>
          <w:szCs w:val="21"/>
        </w:rPr>
        <w:t xml:space="preserve"> Continuous Engagement</w:t>
      </w:r>
    </w:p>
    <w:p w14:paraId="37E60726" w14:textId="77777777" w:rsidR="00EA6856" w:rsidRPr="00ED4E6D" w:rsidRDefault="00EA6856" w:rsidP="0064740B">
      <w:pPr>
        <w:numPr>
          <w:ilvl w:val="0"/>
          <w:numId w:val="1"/>
        </w:numPr>
        <w:spacing w:line="259" w:lineRule="auto"/>
        <w:rPr>
          <w:sz w:val="21"/>
          <w:szCs w:val="21"/>
        </w:rPr>
      </w:pPr>
      <w:r w:rsidRPr="00ED4E6D">
        <w:rPr>
          <w:b/>
          <w:bCs/>
          <w:sz w:val="21"/>
          <w:szCs w:val="21"/>
        </w:rPr>
        <w:t>Why</w:t>
      </w:r>
      <w:r w:rsidRPr="00ED4E6D">
        <w:rPr>
          <w:sz w:val="21"/>
          <w:szCs w:val="21"/>
        </w:rPr>
        <w:t>: Regularly integrating polling questions maintains a high level of interaction, breaks up the content, and encourages participation. This approach makes your presentation more dynamic and responsive to the audience’s needs.</w:t>
      </w:r>
    </w:p>
    <w:p w14:paraId="0EAD056A" w14:textId="77777777" w:rsidR="00EA6856" w:rsidRPr="00ED4E6D" w:rsidRDefault="00EA6856" w:rsidP="00EA6856">
      <w:pPr>
        <w:numPr>
          <w:ilvl w:val="0"/>
          <w:numId w:val="1"/>
        </w:numPr>
        <w:spacing w:line="259" w:lineRule="auto"/>
        <w:rPr>
          <w:sz w:val="21"/>
          <w:szCs w:val="21"/>
        </w:rPr>
      </w:pPr>
      <w:r w:rsidRPr="00ED4E6D">
        <w:rPr>
          <w:b/>
          <w:bCs/>
          <w:sz w:val="21"/>
          <w:szCs w:val="21"/>
        </w:rPr>
        <w:t>Benefit</w:t>
      </w:r>
      <w:r w:rsidRPr="00ED4E6D">
        <w:rPr>
          <w:sz w:val="21"/>
          <w:szCs w:val="21"/>
        </w:rPr>
        <w:t>: Continuous engagement helps sustain attention and prevents cognitive overload.</w:t>
      </w:r>
    </w:p>
    <w:p w14:paraId="1EB5675C" w14:textId="77777777" w:rsidR="00EA6856" w:rsidRPr="00ED4E6D" w:rsidRDefault="00EA6856" w:rsidP="00EA6856">
      <w:pPr>
        <w:numPr>
          <w:ilvl w:val="0"/>
          <w:numId w:val="1"/>
        </w:numPr>
        <w:spacing w:line="259" w:lineRule="auto"/>
        <w:rPr>
          <w:sz w:val="21"/>
          <w:szCs w:val="21"/>
        </w:rPr>
      </w:pPr>
      <w:r w:rsidRPr="00ED4E6D">
        <w:rPr>
          <w:b/>
          <w:bCs/>
          <w:sz w:val="21"/>
          <w:szCs w:val="21"/>
        </w:rPr>
        <w:t>Disruption</w:t>
      </w:r>
      <w:r w:rsidRPr="00ED4E6D">
        <w:rPr>
          <w:sz w:val="21"/>
          <w:szCs w:val="21"/>
        </w:rPr>
        <w:t>: Some presenters may find it challenging to interrupt their train of thought to conduct a poll and then seamlessly continue with their presentation. This can disrupt their delivery and affect the overall coherence of the presentation.</w:t>
      </w:r>
    </w:p>
    <w:p w14:paraId="304B0293" w14:textId="77777777" w:rsidR="00EA6856" w:rsidRPr="00ED4E6D" w:rsidRDefault="00EA6856" w:rsidP="0064740B">
      <w:pPr>
        <w:spacing w:line="259" w:lineRule="auto"/>
        <w:rPr>
          <w:sz w:val="21"/>
          <w:szCs w:val="21"/>
        </w:rPr>
      </w:pPr>
    </w:p>
    <w:p w14:paraId="48AE8630" w14:textId="77777777" w:rsidR="00EA6856" w:rsidRPr="00ED4E6D" w:rsidRDefault="00EA6856" w:rsidP="0064740B">
      <w:pPr>
        <w:spacing w:line="259" w:lineRule="auto"/>
        <w:rPr>
          <w:sz w:val="21"/>
          <w:szCs w:val="21"/>
        </w:rPr>
      </w:pPr>
      <w:r w:rsidRPr="00ED4E6D">
        <w:rPr>
          <w:sz w:val="21"/>
          <w:szCs w:val="21"/>
        </w:rPr>
        <w:t xml:space="preserve">3. </w:t>
      </w:r>
      <w:r w:rsidRPr="00ED4E6D">
        <w:rPr>
          <w:b/>
          <w:bCs/>
          <w:sz w:val="21"/>
          <w:szCs w:val="21"/>
        </w:rPr>
        <w:t>At the End:</w:t>
      </w:r>
      <w:r w:rsidRPr="00ED4E6D">
        <w:rPr>
          <w:sz w:val="21"/>
          <w:szCs w:val="21"/>
        </w:rPr>
        <w:t xml:space="preserve"> Conducting a Knowledge Check</w:t>
      </w:r>
    </w:p>
    <w:p w14:paraId="6A5EAF89" w14:textId="77777777" w:rsidR="00EA6856" w:rsidRPr="00ED4E6D" w:rsidRDefault="00EA6856" w:rsidP="0064740B">
      <w:pPr>
        <w:numPr>
          <w:ilvl w:val="0"/>
          <w:numId w:val="1"/>
        </w:numPr>
        <w:spacing w:line="259" w:lineRule="auto"/>
        <w:rPr>
          <w:sz w:val="21"/>
          <w:szCs w:val="21"/>
        </w:rPr>
      </w:pPr>
      <w:r w:rsidRPr="00ED4E6D">
        <w:rPr>
          <w:b/>
          <w:bCs/>
          <w:sz w:val="21"/>
          <w:szCs w:val="21"/>
        </w:rPr>
        <w:t>Why</w:t>
      </w:r>
      <w:r w:rsidRPr="00ED4E6D">
        <w:rPr>
          <w:sz w:val="21"/>
          <w:szCs w:val="21"/>
        </w:rPr>
        <w:t>: Conducting a knowledge check at the end helps assess how well the audience has grasped the key points. This is your opportunity to reinforce learning and provide feedback on the effectiveness of your presentation.</w:t>
      </w:r>
    </w:p>
    <w:p w14:paraId="4D80FB47" w14:textId="77777777" w:rsidR="00EA6856" w:rsidRPr="00ED4E6D" w:rsidRDefault="00EA6856" w:rsidP="00EA6856">
      <w:pPr>
        <w:numPr>
          <w:ilvl w:val="0"/>
          <w:numId w:val="1"/>
        </w:numPr>
        <w:spacing w:line="259" w:lineRule="auto"/>
        <w:rPr>
          <w:sz w:val="21"/>
          <w:szCs w:val="21"/>
        </w:rPr>
      </w:pPr>
      <w:r w:rsidRPr="00ED4E6D">
        <w:rPr>
          <w:b/>
          <w:bCs/>
          <w:sz w:val="21"/>
          <w:szCs w:val="21"/>
        </w:rPr>
        <w:t>Benefit</w:t>
      </w:r>
      <w:r w:rsidRPr="00ED4E6D">
        <w:rPr>
          <w:sz w:val="21"/>
          <w:szCs w:val="21"/>
        </w:rPr>
        <w:t>: The act of recalling information strengthens neural connections, aiding long-term retention.</w:t>
      </w:r>
    </w:p>
    <w:p w14:paraId="6834AAD5" w14:textId="77777777" w:rsidR="00EA6856" w:rsidRPr="00ED4E6D" w:rsidRDefault="00EA6856" w:rsidP="0064740B">
      <w:pPr>
        <w:numPr>
          <w:ilvl w:val="0"/>
          <w:numId w:val="2"/>
        </w:numPr>
        <w:spacing w:line="259" w:lineRule="auto"/>
        <w:rPr>
          <w:sz w:val="21"/>
          <w:szCs w:val="21"/>
        </w:rPr>
      </w:pPr>
      <w:r w:rsidRPr="00ED4E6D">
        <w:rPr>
          <w:b/>
          <w:bCs/>
          <w:sz w:val="21"/>
          <w:szCs w:val="21"/>
        </w:rPr>
        <w:t>Limited Time for Clarification</w:t>
      </w:r>
      <w:r w:rsidRPr="00ED4E6D">
        <w:rPr>
          <w:sz w:val="21"/>
          <w:szCs w:val="21"/>
        </w:rPr>
        <w:t>: If significant misunderstandings are revealed, there might not be enough time to address them adequately, leaving the audience with unresolved questions.</w:t>
      </w:r>
    </w:p>
    <w:p w14:paraId="478A97A1" w14:textId="77777777" w:rsidR="00EA6856" w:rsidRPr="00ED4E6D" w:rsidRDefault="00EA6856" w:rsidP="0064740B">
      <w:pPr>
        <w:spacing w:line="259" w:lineRule="auto"/>
        <w:rPr>
          <w:sz w:val="21"/>
          <w:szCs w:val="21"/>
        </w:rPr>
      </w:pPr>
    </w:p>
    <w:p w14:paraId="2AE7C4B2" w14:textId="77777777" w:rsidR="00EA6856" w:rsidRPr="00ED4E6D" w:rsidRDefault="00EA6856" w:rsidP="0064740B">
      <w:pPr>
        <w:spacing w:line="259" w:lineRule="auto"/>
        <w:rPr>
          <w:b/>
          <w:bCs/>
          <w:sz w:val="21"/>
          <w:szCs w:val="21"/>
        </w:rPr>
      </w:pPr>
      <w:r w:rsidRPr="00ED4E6D">
        <w:rPr>
          <w:b/>
          <w:bCs/>
          <w:sz w:val="21"/>
          <w:szCs w:val="21"/>
        </w:rPr>
        <w:t>Preparing for Follow-Up</w:t>
      </w:r>
    </w:p>
    <w:p w14:paraId="1871A5E7" w14:textId="77777777" w:rsidR="00EA6856" w:rsidRPr="00ED4E6D" w:rsidRDefault="00EA6856" w:rsidP="00EA6856">
      <w:pPr>
        <w:pStyle w:val="ListParagraph"/>
        <w:numPr>
          <w:ilvl w:val="0"/>
          <w:numId w:val="3"/>
        </w:numPr>
        <w:spacing w:line="259" w:lineRule="auto"/>
        <w:rPr>
          <w:sz w:val="21"/>
          <w:szCs w:val="21"/>
        </w:rPr>
      </w:pPr>
      <w:r w:rsidRPr="00ED4E6D">
        <w:rPr>
          <w:b/>
          <w:bCs/>
          <w:sz w:val="21"/>
          <w:szCs w:val="21"/>
        </w:rPr>
        <w:t>Immediate Feedback:</w:t>
      </w:r>
      <w:r w:rsidRPr="00ED4E6D">
        <w:rPr>
          <w:sz w:val="21"/>
          <w:szCs w:val="21"/>
        </w:rPr>
        <w:t xml:space="preserve"> Be prepared to address any misconceptions or questions that arise from the polling results. Immediate feedback is crucial for clarifying misunderstandings.</w:t>
      </w:r>
    </w:p>
    <w:p w14:paraId="0A2CA210" w14:textId="1DC54AFB" w:rsidR="005E1C31" w:rsidRPr="00ED4E6D" w:rsidRDefault="00EA6856" w:rsidP="005D4E6C">
      <w:pPr>
        <w:pStyle w:val="ListParagraph"/>
        <w:numPr>
          <w:ilvl w:val="0"/>
          <w:numId w:val="3"/>
        </w:numPr>
        <w:spacing w:line="259" w:lineRule="auto"/>
        <w:rPr>
          <w:rFonts w:ascii="Georgia" w:hAnsi="Georgia"/>
          <w:sz w:val="21"/>
          <w:szCs w:val="21"/>
        </w:rPr>
      </w:pPr>
      <w:r w:rsidRPr="00ED4E6D">
        <w:rPr>
          <w:b/>
          <w:bCs/>
          <w:sz w:val="21"/>
          <w:szCs w:val="21"/>
        </w:rPr>
        <w:t>Further Discussion:</w:t>
      </w:r>
      <w:r w:rsidRPr="00ED4E6D">
        <w:rPr>
          <w:sz w:val="21"/>
          <w:szCs w:val="21"/>
        </w:rPr>
        <w:t xml:space="preserve"> Use the results to guide deeper discussions or provide additional explanations as needed. This ensures that your audience leaves with a clear understanding of the material.</w:t>
      </w:r>
    </w:p>
    <w:p w14:paraId="2F52504E" w14:textId="77777777" w:rsidR="00ED4E6D" w:rsidRDefault="00ED4E6D" w:rsidP="00ED4E6D">
      <w:pPr>
        <w:spacing w:line="259" w:lineRule="auto"/>
        <w:rPr>
          <w:rFonts w:ascii="Georgia" w:hAnsi="Georgia"/>
          <w:sz w:val="21"/>
          <w:szCs w:val="21"/>
        </w:rPr>
      </w:pPr>
    </w:p>
    <w:p w14:paraId="61AD1725" w14:textId="77777777" w:rsidR="0091437C" w:rsidRDefault="0091437C" w:rsidP="00ED4E6D">
      <w:pPr>
        <w:spacing w:line="259" w:lineRule="auto"/>
        <w:rPr>
          <w:sz w:val="21"/>
          <w:szCs w:val="21"/>
        </w:rPr>
      </w:pPr>
    </w:p>
    <w:p w14:paraId="4FA93BB3" w14:textId="77777777" w:rsidR="0091437C" w:rsidRDefault="0091437C" w:rsidP="00ED4E6D">
      <w:pPr>
        <w:spacing w:line="259" w:lineRule="auto"/>
        <w:rPr>
          <w:sz w:val="21"/>
          <w:szCs w:val="21"/>
        </w:rPr>
      </w:pPr>
    </w:p>
    <w:p w14:paraId="5CDE8D35" w14:textId="77777777" w:rsidR="0091437C" w:rsidRDefault="0091437C" w:rsidP="00ED4E6D">
      <w:pPr>
        <w:spacing w:line="259" w:lineRule="auto"/>
        <w:rPr>
          <w:sz w:val="21"/>
          <w:szCs w:val="21"/>
        </w:rPr>
      </w:pPr>
    </w:p>
    <w:p w14:paraId="3B441011" w14:textId="2A64174C" w:rsidR="002B118C" w:rsidRDefault="00ED4E6D" w:rsidP="00ED4E6D">
      <w:pPr>
        <w:spacing w:line="259" w:lineRule="auto"/>
        <w:rPr>
          <w:sz w:val="21"/>
          <w:szCs w:val="21"/>
        </w:rPr>
      </w:pPr>
      <w:r w:rsidRPr="00ED4E6D">
        <w:rPr>
          <w:sz w:val="21"/>
          <w:szCs w:val="21"/>
        </w:rPr>
        <w:lastRenderedPageBreak/>
        <w:t xml:space="preserve">More information: </w:t>
      </w:r>
    </w:p>
    <w:p w14:paraId="16452C60" w14:textId="55228722" w:rsidR="002B118C" w:rsidRPr="002B118C" w:rsidRDefault="002B118C" w:rsidP="00404DC9">
      <w:pPr>
        <w:numPr>
          <w:ilvl w:val="0"/>
          <w:numId w:val="5"/>
        </w:numPr>
        <w:spacing w:line="259" w:lineRule="auto"/>
        <w:rPr>
          <w:rFonts w:cs="Arial"/>
          <w:sz w:val="21"/>
          <w:szCs w:val="21"/>
        </w:rPr>
      </w:pPr>
      <w:r w:rsidRPr="002B118C">
        <w:rPr>
          <w:rFonts w:cs="Arial"/>
          <w:sz w:val="21"/>
          <w:szCs w:val="21"/>
        </w:rPr>
        <w:t>Columbia Center for Teaching and Learning. (2020). Developing poll questions to engage and assess student thinking in science and engineering courses. Columbia University. Retrieved from </w:t>
      </w:r>
      <w:hyperlink r:id="rId9" w:tgtFrame="_blank" w:history="1">
        <w:r w:rsidRPr="002B118C">
          <w:rPr>
            <w:rStyle w:val="Hyperlink"/>
            <w:rFonts w:cs="Arial"/>
            <w:sz w:val="21"/>
            <w:szCs w:val="21"/>
          </w:rPr>
          <w:t>https://ctl.columbia.edu/resources-and-technology/resources/poll-questions-stem/</w:t>
        </w:r>
      </w:hyperlink>
    </w:p>
    <w:p w14:paraId="11DA84B5" w14:textId="77777777" w:rsidR="005011B3" w:rsidRDefault="005011B3" w:rsidP="002B118C">
      <w:pPr>
        <w:numPr>
          <w:ilvl w:val="0"/>
          <w:numId w:val="5"/>
        </w:numPr>
        <w:spacing w:line="259" w:lineRule="auto"/>
        <w:rPr>
          <w:rFonts w:cs="Arial"/>
          <w:sz w:val="21"/>
          <w:szCs w:val="21"/>
        </w:rPr>
      </w:pPr>
      <w:r w:rsidRPr="005011B3">
        <w:rPr>
          <w:rFonts w:cs="Arial"/>
          <w:sz w:val="21"/>
          <w:szCs w:val="21"/>
        </w:rPr>
        <w:t>Curriculum Solutions. (2021, November 1). </w:t>
      </w:r>
      <w:r w:rsidRPr="005011B3">
        <w:rPr>
          <w:rFonts w:cs="Arial"/>
          <w:i/>
          <w:iCs/>
          <w:sz w:val="21"/>
          <w:szCs w:val="21"/>
        </w:rPr>
        <w:t>Leveraging cognitive dissonance</w:t>
      </w:r>
      <w:r w:rsidRPr="005011B3">
        <w:rPr>
          <w:rFonts w:cs="Arial"/>
          <w:sz w:val="21"/>
          <w:szCs w:val="21"/>
        </w:rPr>
        <w:t>. Curriculum Solutions. </w:t>
      </w:r>
      <w:hyperlink r:id="rId10" w:tgtFrame="_blank" w:history="1">
        <w:r w:rsidRPr="005011B3">
          <w:rPr>
            <w:rStyle w:val="Hyperlink"/>
            <w:rFonts w:cs="Arial"/>
            <w:sz w:val="21"/>
            <w:szCs w:val="21"/>
          </w:rPr>
          <w:t>https://curriculumsolutions.net/blog/2021/11/01/leveraging-cognitive-dissonance/</w:t>
        </w:r>
      </w:hyperlink>
    </w:p>
    <w:p w14:paraId="266331AE" w14:textId="47D0019B" w:rsidR="002B118C" w:rsidRPr="002B118C" w:rsidRDefault="002B118C" w:rsidP="002B118C">
      <w:pPr>
        <w:numPr>
          <w:ilvl w:val="0"/>
          <w:numId w:val="5"/>
        </w:numPr>
        <w:spacing w:line="259" w:lineRule="auto"/>
        <w:rPr>
          <w:rFonts w:cs="Arial"/>
          <w:sz w:val="21"/>
          <w:szCs w:val="21"/>
        </w:rPr>
      </w:pPr>
      <w:r w:rsidRPr="002B118C">
        <w:rPr>
          <w:rFonts w:cs="Arial"/>
          <w:sz w:val="21"/>
          <w:szCs w:val="21"/>
        </w:rPr>
        <w:t xml:space="preserve">McGivern, P., &amp; Coxon, M. (2015). Student polling software: Where cognitive psychology meets educational practice? Frontiers in Psychology, 6, </w:t>
      </w:r>
      <w:r>
        <w:rPr>
          <w:rFonts w:cs="Arial"/>
          <w:sz w:val="21"/>
          <w:szCs w:val="21"/>
        </w:rPr>
        <w:t>5</w:t>
      </w:r>
      <w:r w:rsidRPr="002B118C">
        <w:rPr>
          <w:rFonts w:cs="Arial"/>
          <w:sz w:val="21"/>
          <w:szCs w:val="21"/>
        </w:rPr>
        <w:t>5. </w:t>
      </w:r>
      <w:hyperlink r:id="rId11" w:tgtFrame="_blank" w:history="1">
        <w:r w:rsidRPr="002B118C">
          <w:rPr>
            <w:rStyle w:val="Hyperlink"/>
            <w:sz w:val="21"/>
            <w:szCs w:val="21"/>
          </w:rPr>
          <w:t>https://doi.org/10.3389/fpsyg.2015.00055</w:t>
        </w:r>
      </w:hyperlink>
      <w:r>
        <w:rPr>
          <w:rFonts w:cs="Arial"/>
          <w:sz w:val="21"/>
          <w:szCs w:val="21"/>
        </w:rPr>
        <w:t xml:space="preserve">  </w:t>
      </w:r>
    </w:p>
    <w:p w14:paraId="17C29448" w14:textId="775CE03B" w:rsidR="00ED4E6D" w:rsidRPr="002B118C" w:rsidRDefault="00ED4E6D" w:rsidP="002B118C">
      <w:pPr>
        <w:numPr>
          <w:ilvl w:val="0"/>
          <w:numId w:val="5"/>
        </w:numPr>
        <w:spacing w:line="259" w:lineRule="auto"/>
        <w:rPr>
          <w:rFonts w:cs="Arial"/>
          <w:sz w:val="21"/>
          <w:szCs w:val="21"/>
        </w:rPr>
      </w:pPr>
      <w:r w:rsidRPr="002B118C">
        <w:rPr>
          <w:rFonts w:cs="Arial"/>
          <w:sz w:val="21"/>
          <w:szCs w:val="21"/>
        </w:rPr>
        <w:t>Price, T. J. (2022). Real-time polling to help corral university-learners’ wandering minds. Journal of Research in Innovative Teaching &amp; Learning, 15(1), 98-109. </w:t>
      </w:r>
      <w:hyperlink r:id="rId12" w:tgtFrame="_blank" w:history="1">
        <w:r w:rsidRPr="002B118C">
          <w:rPr>
            <w:rStyle w:val="Hyperlink"/>
            <w:rFonts w:cs="Arial"/>
            <w:sz w:val="21"/>
            <w:szCs w:val="21"/>
          </w:rPr>
          <w:t>https://doi.org/10.1108/JRIT-03-2020-0017</w:t>
        </w:r>
      </w:hyperlink>
    </w:p>
    <w:p w14:paraId="614C25EC" w14:textId="0BBAEE85" w:rsidR="00ED4E6D" w:rsidRPr="00ED4E6D" w:rsidRDefault="00ED4E6D" w:rsidP="00ED4E6D">
      <w:pPr>
        <w:numPr>
          <w:ilvl w:val="0"/>
          <w:numId w:val="5"/>
        </w:numPr>
        <w:spacing w:line="259" w:lineRule="auto"/>
        <w:rPr>
          <w:rFonts w:cs="Arial"/>
          <w:sz w:val="21"/>
          <w:szCs w:val="21"/>
        </w:rPr>
      </w:pPr>
      <w:r w:rsidRPr="00ED4E6D">
        <w:rPr>
          <w:rFonts w:cs="Arial"/>
          <w:sz w:val="21"/>
          <w:szCs w:val="21"/>
        </w:rPr>
        <w:t xml:space="preserve">Smith, C. Step-by-step guide for conducting a knowledge check effectively. </w:t>
      </w:r>
      <w:proofErr w:type="spellStart"/>
      <w:r w:rsidRPr="00ED4E6D">
        <w:rPr>
          <w:rFonts w:cs="Arial"/>
          <w:sz w:val="21"/>
          <w:szCs w:val="21"/>
        </w:rPr>
        <w:t>Neovation</w:t>
      </w:r>
      <w:proofErr w:type="spellEnd"/>
      <w:r w:rsidRPr="00ED4E6D">
        <w:rPr>
          <w:rFonts w:cs="Arial"/>
          <w:sz w:val="21"/>
          <w:szCs w:val="21"/>
        </w:rPr>
        <w:t xml:space="preserve">. </w:t>
      </w:r>
      <w:hyperlink r:id="rId13" w:tgtFrame="_blank" w:history="1">
        <w:r w:rsidRPr="00ED4E6D">
          <w:rPr>
            <w:rStyle w:val="Hyperlink"/>
            <w:rFonts w:cs="Arial"/>
            <w:sz w:val="21"/>
            <w:szCs w:val="21"/>
          </w:rPr>
          <w:t>https://www.neovation.com/learn/85-guide-for-conducting-knowledge-check-effectively</w:t>
        </w:r>
      </w:hyperlink>
    </w:p>
    <w:p w14:paraId="4ACBDBE2" w14:textId="77777777" w:rsidR="00ED4E6D" w:rsidRPr="002B118C" w:rsidRDefault="00ED4E6D" w:rsidP="00ED4E6D">
      <w:pPr>
        <w:spacing w:line="259" w:lineRule="auto"/>
        <w:rPr>
          <w:rFonts w:cs="Arial"/>
          <w:sz w:val="21"/>
          <w:szCs w:val="21"/>
        </w:rPr>
      </w:pPr>
    </w:p>
    <w:sectPr w:rsidR="00ED4E6D" w:rsidRPr="002B118C" w:rsidSect="00EA6856">
      <w:headerReference w:type="default" r:id="rId14"/>
      <w:pgSz w:w="12240" w:h="15840"/>
      <w:pgMar w:top="1440" w:right="1296" w:bottom="1440" w:left="1296" w:header="172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579FE" w14:textId="77777777" w:rsidR="00D56327" w:rsidRDefault="00D56327" w:rsidP="005E1C31">
      <w:r>
        <w:separator/>
      </w:r>
    </w:p>
  </w:endnote>
  <w:endnote w:type="continuationSeparator" w:id="0">
    <w:p w14:paraId="647C6A5C" w14:textId="77777777" w:rsidR="00D56327" w:rsidRDefault="00D56327" w:rsidP="005E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A Light">
    <w:altName w:val="Tahoma"/>
    <w:charset w:val="00"/>
    <w:family w:val="auto"/>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5E80" w14:textId="77777777" w:rsidR="00D56327" w:rsidRDefault="00D56327" w:rsidP="005E1C31">
      <w:r>
        <w:separator/>
      </w:r>
    </w:p>
  </w:footnote>
  <w:footnote w:type="continuationSeparator" w:id="0">
    <w:p w14:paraId="0285E524" w14:textId="77777777" w:rsidR="00D56327" w:rsidRDefault="00D56327" w:rsidP="005E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D803" w14:textId="0C3C6A2F" w:rsidR="002C1235" w:rsidRDefault="00AB50C1">
    <w:pPr>
      <w:pStyle w:val="Header"/>
    </w:pPr>
    <w:r>
      <w:rPr>
        <w:noProof/>
      </w:rPr>
      <w:drawing>
        <wp:anchor distT="0" distB="0" distL="114300" distR="114300" simplePos="0" relativeHeight="251658240" behindDoc="1" locked="1" layoutInCell="1" allowOverlap="1" wp14:anchorId="7EF64900" wp14:editId="60749074">
          <wp:simplePos x="0" y="0"/>
          <wp:positionH relativeFrom="page">
            <wp:align>left</wp:align>
          </wp:positionH>
          <wp:positionV relativeFrom="page">
            <wp:align>top</wp:align>
          </wp:positionV>
          <wp:extent cx="7818120" cy="10122408"/>
          <wp:effectExtent l="0" t="0" r="508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_page_logo_top_Teal.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0A9"/>
    <w:multiLevelType w:val="multilevel"/>
    <w:tmpl w:val="9E92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B4215"/>
    <w:multiLevelType w:val="hybridMultilevel"/>
    <w:tmpl w:val="AE9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D45CA"/>
    <w:multiLevelType w:val="multilevel"/>
    <w:tmpl w:val="130E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7673C"/>
    <w:multiLevelType w:val="multilevel"/>
    <w:tmpl w:val="8B98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DC7F69"/>
    <w:multiLevelType w:val="multilevel"/>
    <w:tmpl w:val="81B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416169">
    <w:abstractNumId w:val="0"/>
  </w:num>
  <w:num w:numId="2" w16cid:durableId="1512526175">
    <w:abstractNumId w:val="4"/>
  </w:num>
  <w:num w:numId="3" w16cid:durableId="1264874981">
    <w:abstractNumId w:val="1"/>
  </w:num>
  <w:num w:numId="4" w16cid:durableId="30421304">
    <w:abstractNumId w:val="3"/>
  </w:num>
  <w:num w:numId="5" w16cid:durableId="77679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31"/>
    <w:rsid w:val="00041A38"/>
    <w:rsid w:val="00061B55"/>
    <w:rsid w:val="00072F38"/>
    <w:rsid w:val="000E2CB2"/>
    <w:rsid w:val="001A07E7"/>
    <w:rsid w:val="00295423"/>
    <w:rsid w:val="002B118C"/>
    <w:rsid w:val="002C1235"/>
    <w:rsid w:val="002F52A9"/>
    <w:rsid w:val="00360FBF"/>
    <w:rsid w:val="00373E2D"/>
    <w:rsid w:val="00395A8B"/>
    <w:rsid w:val="003B5861"/>
    <w:rsid w:val="00400AB9"/>
    <w:rsid w:val="0040243B"/>
    <w:rsid w:val="0042190D"/>
    <w:rsid w:val="004B60BC"/>
    <w:rsid w:val="004F0B21"/>
    <w:rsid w:val="004F4E57"/>
    <w:rsid w:val="005011B3"/>
    <w:rsid w:val="00561F83"/>
    <w:rsid w:val="005865F1"/>
    <w:rsid w:val="005A168C"/>
    <w:rsid w:val="005A26BB"/>
    <w:rsid w:val="005E1C31"/>
    <w:rsid w:val="006E3112"/>
    <w:rsid w:val="006E47E0"/>
    <w:rsid w:val="006E4A73"/>
    <w:rsid w:val="007D4F7C"/>
    <w:rsid w:val="007F55D2"/>
    <w:rsid w:val="008E0E10"/>
    <w:rsid w:val="0091437C"/>
    <w:rsid w:val="00961016"/>
    <w:rsid w:val="0098196B"/>
    <w:rsid w:val="0098574A"/>
    <w:rsid w:val="00A31FF7"/>
    <w:rsid w:val="00AB50C1"/>
    <w:rsid w:val="00C651B5"/>
    <w:rsid w:val="00CD5C9C"/>
    <w:rsid w:val="00D56327"/>
    <w:rsid w:val="00DB1556"/>
    <w:rsid w:val="00E16BA8"/>
    <w:rsid w:val="00EA6856"/>
    <w:rsid w:val="00ED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06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1C31"/>
    <w:rPr>
      <w:rFonts w:ascii="Arial" w:hAnsi="Arial"/>
      <w:color w:val="54585A"/>
    </w:rPr>
  </w:style>
  <w:style w:type="paragraph" w:styleId="Heading1">
    <w:name w:val="heading 1"/>
    <w:basedOn w:val="Normal"/>
    <w:next w:val="Normal"/>
    <w:link w:val="Heading1Char"/>
    <w:uiPriority w:val="9"/>
    <w:qFormat/>
    <w:rsid w:val="005E1C31"/>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5E1C31"/>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C31"/>
    <w:rPr>
      <w:rFonts w:ascii="Arial" w:eastAsiaTheme="majorEastAsia" w:hAnsi="Arial" w:cstheme="majorBidi"/>
      <w:color w:val="54585A"/>
      <w:sz w:val="32"/>
      <w:szCs w:val="32"/>
    </w:rPr>
  </w:style>
  <w:style w:type="character" w:customStyle="1" w:styleId="Heading2Char">
    <w:name w:val="Heading 2 Char"/>
    <w:basedOn w:val="DefaultParagraphFont"/>
    <w:link w:val="Heading2"/>
    <w:uiPriority w:val="9"/>
    <w:semiHidden/>
    <w:rsid w:val="005E1C31"/>
    <w:rPr>
      <w:rFonts w:ascii="Arial" w:eastAsiaTheme="majorEastAsia" w:hAnsi="Arial" w:cstheme="majorBidi"/>
      <w:color w:val="54585A"/>
      <w:sz w:val="26"/>
      <w:szCs w:val="26"/>
    </w:rPr>
  </w:style>
  <w:style w:type="paragraph" w:styleId="Title">
    <w:name w:val="Title"/>
    <w:basedOn w:val="Normal"/>
    <w:next w:val="Normal"/>
    <w:link w:val="TitleChar"/>
    <w:uiPriority w:val="10"/>
    <w:qFormat/>
    <w:rsid w:val="005E1C3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E1C31"/>
    <w:rPr>
      <w:rFonts w:ascii="Arial" w:eastAsiaTheme="majorEastAsia" w:hAnsi="Arial" w:cstheme="majorBidi"/>
      <w:color w:val="54585A"/>
      <w:spacing w:val="-10"/>
      <w:kern w:val="28"/>
      <w:sz w:val="56"/>
      <w:szCs w:val="56"/>
    </w:rPr>
  </w:style>
  <w:style w:type="paragraph" w:styleId="Subtitle">
    <w:name w:val="Subtitle"/>
    <w:basedOn w:val="Normal"/>
    <w:next w:val="Normal"/>
    <w:link w:val="SubtitleChar"/>
    <w:uiPriority w:val="11"/>
    <w:qFormat/>
    <w:rsid w:val="005E1C31"/>
  </w:style>
  <w:style w:type="character" w:customStyle="1" w:styleId="SubtitleChar">
    <w:name w:val="Subtitle Char"/>
    <w:basedOn w:val="DefaultParagraphFont"/>
    <w:link w:val="Subtitle"/>
    <w:uiPriority w:val="11"/>
    <w:rsid w:val="005E1C31"/>
    <w:rPr>
      <w:rFonts w:ascii="Arial" w:hAnsi="Arial"/>
      <w:color w:val="54585A"/>
    </w:rPr>
  </w:style>
  <w:style w:type="character" w:styleId="SubtleEmphasis">
    <w:name w:val="Subtle Emphasis"/>
    <w:uiPriority w:val="19"/>
    <w:qFormat/>
    <w:rsid w:val="005E1C31"/>
    <w:rPr>
      <w:rFonts w:ascii="Arial" w:hAnsi="Arial"/>
      <w:color w:val="54585A"/>
    </w:rPr>
  </w:style>
  <w:style w:type="character" w:styleId="Emphasis">
    <w:name w:val="Emphasis"/>
    <w:basedOn w:val="DefaultParagraphFont"/>
    <w:uiPriority w:val="20"/>
    <w:qFormat/>
    <w:rsid w:val="005E1C31"/>
    <w:rPr>
      <w:rFonts w:ascii="Arial" w:hAnsi="Arial"/>
      <w:i/>
      <w:iCs/>
      <w:color w:val="54585A"/>
    </w:rPr>
  </w:style>
  <w:style w:type="character" w:styleId="IntenseEmphasis">
    <w:name w:val="Intense Emphasis"/>
    <w:basedOn w:val="DefaultParagraphFont"/>
    <w:uiPriority w:val="21"/>
    <w:qFormat/>
    <w:rsid w:val="005E1C31"/>
    <w:rPr>
      <w:rFonts w:ascii="Arial" w:hAnsi="Arial"/>
      <w:i/>
      <w:iCs/>
      <w:color w:val="54585A"/>
    </w:rPr>
  </w:style>
  <w:style w:type="paragraph" w:styleId="Quote">
    <w:name w:val="Quote"/>
    <w:basedOn w:val="Normal"/>
    <w:next w:val="Normal"/>
    <w:link w:val="QuoteChar"/>
    <w:uiPriority w:val="29"/>
    <w:qFormat/>
    <w:rsid w:val="005E1C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C31"/>
    <w:rPr>
      <w:rFonts w:ascii="Arial" w:hAnsi="Arial"/>
      <w:i/>
      <w:iCs/>
      <w:color w:val="404040" w:themeColor="text1" w:themeTint="BF"/>
    </w:rPr>
  </w:style>
  <w:style w:type="paragraph" w:styleId="IntenseQuote">
    <w:name w:val="Intense Quote"/>
    <w:basedOn w:val="Normal"/>
    <w:next w:val="Normal"/>
    <w:link w:val="IntenseQuoteChar"/>
    <w:uiPriority w:val="30"/>
    <w:qFormat/>
    <w:rsid w:val="005E1C31"/>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5E1C31"/>
    <w:rPr>
      <w:rFonts w:ascii="Arial" w:hAnsi="Arial"/>
      <w:i/>
      <w:iCs/>
      <w:color w:val="54585A"/>
    </w:rPr>
  </w:style>
  <w:style w:type="character" w:styleId="SubtleReference">
    <w:name w:val="Subtle Reference"/>
    <w:basedOn w:val="DefaultParagraphFont"/>
    <w:uiPriority w:val="31"/>
    <w:qFormat/>
    <w:rsid w:val="005E1C31"/>
    <w:rPr>
      <w:rFonts w:ascii="Arial" w:hAnsi="Arial"/>
      <w:smallCaps/>
      <w:color w:val="5A5A5A" w:themeColor="text1" w:themeTint="A5"/>
    </w:rPr>
  </w:style>
  <w:style w:type="character" w:styleId="IntenseReference">
    <w:name w:val="Intense Reference"/>
    <w:basedOn w:val="DefaultParagraphFont"/>
    <w:uiPriority w:val="32"/>
    <w:qFormat/>
    <w:rsid w:val="005E1C31"/>
    <w:rPr>
      <w:rFonts w:ascii="Arial" w:hAnsi="Arial"/>
      <w:b/>
      <w:bCs/>
      <w:smallCaps/>
      <w:color w:val="54585A"/>
      <w:spacing w:val="5"/>
    </w:rPr>
  </w:style>
  <w:style w:type="character" w:styleId="BookTitle">
    <w:name w:val="Book Title"/>
    <w:basedOn w:val="DefaultParagraphFont"/>
    <w:uiPriority w:val="33"/>
    <w:qFormat/>
    <w:rsid w:val="005E1C31"/>
    <w:rPr>
      <w:rFonts w:ascii="Arial" w:hAnsi="Arial"/>
      <w:b/>
      <w:bCs/>
      <w:i/>
      <w:iCs/>
      <w:color w:val="54585A"/>
      <w:spacing w:val="5"/>
    </w:rPr>
  </w:style>
  <w:style w:type="character" w:styleId="Strong">
    <w:name w:val="Strong"/>
    <w:basedOn w:val="DefaultParagraphFont"/>
    <w:uiPriority w:val="22"/>
    <w:qFormat/>
    <w:rsid w:val="005E1C31"/>
    <w:rPr>
      <w:rFonts w:ascii="Arial" w:hAnsi="Arial"/>
      <w:b/>
      <w:bCs/>
      <w:color w:val="54585A"/>
    </w:rPr>
  </w:style>
  <w:style w:type="paragraph" w:styleId="ListParagraph">
    <w:name w:val="List Paragraph"/>
    <w:basedOn w:val="Normal"/>
    <w:uiPriority w:val="34"/>
    <w:qFormat/>
    <w:rsid w:val="005E1C31"/>
    <w:pPr>
      <w:ind w:left="720"/>
      <w:contextualSpacing/>
    </w:pPr>
  </w:style>
  <w:style w:type="paragraph" w:customStyle="1" w:styleId="p1">
    <w:name w:val="p1"/>
    <w:basedOn w:val="Normal"/>
    <w:rsid w:val="005E1C31"/>
    <w:pPr>
      <w:spacing w:line="173" w:lineRule="atLeast"/>
    </w:pPr>
    <w:rPr>
      <w:rFonts w:ascii="Proxima Nova A Light" w:hAnsi="Proxima Nova A Light"/>
      <w:color w:val="auto"/>
      <w:sz w:val="15"/>
      <w:szCs w:val="15"/>
    </w:rPr>
  </w:style>
  <w:style w:type="paragraph" w:styleId="Header">
    <w:name w:val="header"/>
    <w:basedOn w:val="Normal"/>
    <w:link w:val="HeaderChar"/>
    <w:uiPriority w:val="99"/>
    <w:unhideWhenUsed/>
    <w:rsid w:val="005E1C31"/>
    <w:pPr>
      <w:tabs>
        <w:tab w:val="center" w:pos="4680"/>
        <w:tab w:val="right" w:pos="9360"/>
      </w:tabs>
    </w:pPr>
  </w:style>
  <w:style w:type="character" w:customStyle="1" w:styleId="HeaderChar">
    <w:name w:val="Header Char"/>
    <w:basedOn w:val="DefaultParagraphFont"/>
    <w:link w:val="Header"/>
    <w:uiPriority w:val="99"/>
    <w:rsid w:val="005E1C31"/>
    <w:rPr>
      <w:rFonts w:ascii="Arial" w:hAnsi="Arial"/>
      <w:color w:val="54585A"/>
    </w:rPr>
  </w:style>
  <w:style w:type="paragraph" w:styleId="Footer">
    <w:name w:val="footer"/>
    <w:basedOn w:val="Normal"/>
    <w:link w:val="FooterChar"/>
    <w:uiPriority w:val="99"/>
    <w:unhideWhenUsed/>
    <w:rsid w:val="005E1C31"/>
    <w:pPr>
      <w:tabs>
        <w:tab w:val="center" w:pos="4680"/>
        <w:tab w:val="right" w:pos="9360"/>
      </w:tabs>
    </w:pPr>
  </w:style>
  <w:style w:type="character" w:customStyle="1" w:styleId="FooterChar">
    <w:name w:val="Footer Char"/>
    <w:basedOn w:val="DefaultParagraphFont"/>
    <w:link w:val="Footer"/>
    <w:uiPriority w:val="99"/>
    <w:rsid w:val="005E1C31"/>
    <w:rPr>
      <w:rFonts w:ascii="Arial" w:hAnsi="Arial"/>
      <w:color w:val="54585A"/>
    </w:rPr>
  </w:style>
  <w:style w:type="paragraph" w:styleId="NormalWeb">
    <w:name w:val="Normal (Web)"/>
    <w:basedOn w:val="Normal"/>
    <w:uiPriority w:val="99"/>
    <w:semiHidden/>
    <w:unhideWhenUsed/>
    <w:rsid w:val="00ED4E6D"/>
    <w:rPr>
      <w:rFonts w:ascii="Times New Roman" w:hAnsi="Times New Roman" w:cs="Times New Roman"/>
    </w:rPr>
  </w:style>
  <w:style w:type="character" w:styleId="Hyperlink">
    <w:name w:val="Hyperlink"/>
    <w:basedOn w:val="DefaultParagraphFont"/>
    <w:uiPriority w:val="99"/>
    <w:unhideWhenUsed/>
    <w:rsid w:val="00ED4E6D"/>
    <w:rPr>
      <w:color w:val="0563C1" w:themeColor="hyperlink"/>
      <w:u w:val="single"/>
    </w:rPr>
  </w:style>
  <w:style w:type="character" w:styleId="UnresolvedMention">
    <w:name w:val="Unresolved Mention"/>
    <w:basedOn w:val="DefaultParagraphFont"/>
    <w:uiPriority w:val="99"/>
    <w:rsid w:val="00ED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31496">
      <w:bodyDiv w:val="1"/>
      <w:marLeft w:val="0"/>
      <w:marRight w:val="0"/>
      <w:marTop w:val="0"/>
      <w:marBottom w:val="0"/>
      <w:divBdr>
        <w:top w:val="none" w:sz="0" w:space="0" w:color="auto"/>
        <w:left w:val="none" w:sz="0" w:space="0" w:color="auto"/>
        <w:bottom w:val="none" w:sz="0" w:space="0" w:color="auto"/>
        <w:right w:val="none" w:sz="0" w:space="0" w:color="auto"/>
      </w:divBdr>
    </w:div>
    <w:div w:id="1135172760">
      <w:bodyDiv w:val="1"/>
      <w:marLeft w:val="0"/>
      <w:marRight w:val="0"/>
      <w:marTop w:val="0"/>
      <w:marBottom w:val="0"/>
      <w:divBdr>
        <w:top w:val="none" w:sz="0" w:space="0" w:color="auto"/>
        <w:left w:val="none" w:sz="0" w:space="0" w:color="auto"/>
        <w:bottom w:val="none" w:sz="0" w:space="0" w:color="auto"/>
        <w:right w:val="none" w:sz="0" w:space="0" w:color="auto"/>
      </w:divBdr>
    </w:div>
    <w:div w:id="1666783940">
      <w:bodyDiv w:val="1"/>
      <w:marLeft w:val="0"/>
      <w:marRight w:val="0"/>
      <w:marTop w:val="0"/>
      <w:marBottom w:val="0"/>
      <w:divBdr>
        <w:top w:val="none" w:sz="0" w:space="0" w:color="auto"/>
        <w:left w:val="none" w:sz="0" w:space="0" w:color="auto"/>
        <w:bottom w:val="none" w:sz="0" w:space="0" w:color="auto"/>
        <w:right w:val="none" w:sz="0" w:space="0" w:color="auto"/>
      </w:divBdr>
    </w:div>
    <w:div w:id="1679962002">
      <w:bodyDiv w:val="1"/>
      <w:marLeft w:val="0"/>
      <w:marRight w:val="0"/>
      <w:marTop w:val="0"/>
      <w:marBottom w:val="0"/>
      <w:divBdr>
        <w:top w:val="none" w:sz="0" w:space="0" w:color="auto"/>
        <w:left w:val="none" w:sz="0" w:space="0" w:color="auto"/>
        <w:bottom w:val="none" w:sz="0" w:space="0" w:color="auto"/>
        <w:right w:val="none" w:sz="0" w:space="0" w:color="auto"/>
      </w:divBdr>
    </w:div>
    <w:div w:id="1946377864">
      <w:bodyDiv w:val="1"/>
      <w:marLeft w:val="0"/>
      <w:marRight w:val="0"/>
      <w:marTop w:val="0"/>
      <w:marBottom w:val="0"/>
      <w:divBdr>
        <w:top w:val="none" w:sz="0" w:space="0" w:color="auto"/>
        <w:left w:val="none" w:sz="0" w:space="0" w:color="auto"/>
        <w:bottom w:val="none" w:sz="0" w:space="0" w:color="auto"/>
        <w:right w:val="none" w:sz="0" w:space="0" w:color="auto"/>
      </w:divBdr>
    </w:div>
    <w:div w:id="1988388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hmc.cloud-cme.com/contact/?p=35" TargetMode="External"/><Relationship Id="rId13" Type="http://schemas.openxmlformats.org/officeDocument/2006/relationships/hyperlink" Target="https://www.neovation.com/learn/85-guide-for-conducting-knowledge-check-effective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RIT-03-2020-0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15.000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rriculumsolutions.net/blog/2021/11/01/leveraging-cognitive-dissonance/" TargetMode="External"/><Relationship Id="rId4" Type="http://schemas.openxmlformats.org/officeDocument/2006/relationships/settings" Target="settings.xml"/><Relationship Id="rId9" Type="http://schemas.openxmlformats.org/officeDocument/2006/relationships/hyperlink" Target="https://ctl.columbia.edu/resources-and-technology/resources/poll-questions-ste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253173-19B5-7843-861A-FD22D5AC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Sheldon, Sheryl</cp:lastModifiedBy>
  <cp:revision>7</cp:revision>
  <dcterms:created xsi:type="dcterms:W3CDTF">2024-10-24T12:49:00Z</dcterms:created>
  <dcterms:modified xsi:type="dcterms:W3CDTF">2024-10-31T14:57:00Z</dcterms:modified>
</cp:coreProperties>
</file>